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8247A" w14:textId="77777777" w:rsidR="00F65771" w:rsidRPr="00F65771" w:rsidRDefault="00F65771" w:rsidP="00F65771">
      <w:pPr>
        <w:spacing w:line="276" w:lineRule="auto"/>
        <w:jc w:val="center"/>
        <w:rPr>
          <w:b/>
          <w:bCs/>
          <w:sz w:val="28"/>
          <w:szCs w:val="28"/>
          <w:lang w:val="en-GB"/>
        </w:rPr>
      </w:pPr>
      <w:r w:rsidRPr="00F65771">
        <w:rPr>
          <w:b/>
          <w:bCs/>
          <w:sz w:val="28"/>
          <w:szCs w:val="28"/>
          <w:lang w:val="en-GB"/>
        </w:rPr>
        <w:t>Commodity Description</w:t>
      </w:r>
    </w:p>
    <w:tbl>
      <w:tblPr>
        <w:tblStyle w:val="TableGrid"/>
        <w:tblW w:w="0" w:type="auto"/>
        <w:tblInd w:w="0" w:type="dxa"/>
        <w:tblLook w:val="04A0" w:firstRow="1" w:lastRow="0" w:firstColumn="1" w:lastColumn="0" w:noHBand="0" w:noVBand="1"/>
      </w:tblPr>
      <w:tblGrid>
        <w:gridCol w:w="1124"/>
        <w:gridCol w:w="4541"/>
        <w:gridCol w:w="1318"/>
        <w:gridCol w:w="2328"/>
      </w:tblGrid>
      <w:tr w:rsidR="00F65771" w14:paraId="79EA0AE2" w14:textId="77777777" w:rsidTr="00F65771">
        <w:trPr>
          <w:trHeight w:val="483"/>
        </w:trPr>
        <w:tc>
          <w:tcPr>
            <w:tcW w:w="1124" w:type="dxa"/>
            <w:tcBorders>
              <w:top w:val="single" w:sz="4" w:space="0" w:color="auto"/>
              <w:left w:val="single" w:sz="4" w:space="0" w:color="auto"/>
              <w:bottom w:val="single" w:sz="4" w:space="0" w:color="auto"/>
              <w:right w:val="single" w:sz="4" w:space="0" w:color="auto"/>
            </w:tcBorders>
            <w:vAlign w:val="center"/>
            <w:hideMark/>
          </w:tcPr>
          <w:p w14:paraId="2A1C55C8" w14:textId="77777777" w:rsidR="00F65771" w:rsidRDefault="00F65771">
            <w:pPr>
              <w:spacing w:line="276" w:lineRule="auto"/>
              <w:jc w:val="center"/>
              <w:rPr>
                <w:lang w:val="en-GB"/>
              </w:rPr>
            </w:pPr>
            <w:r>
              <w:rPr>
                <w:lang w:val="en-GB"/>
              </w:rPr>
              <w:t>Item No.</w:t>
            </w:r>
          </w:p>
        </w:tc>
        <w:tc>
          <w:tcPr>
            <w:tcW w:w="4541" w:type="dxa"/>
            <w:tcBorders>
              <w:top w:val="single" w:sz="4" w:space="0" w:color="auto"/>
              <w:left w:val="single" w:sz="4" w:space="0" w:color="auto"/>
              <w:bottom w:val="single" w:sz="4" w:space="0" w:color="auto"/>
              <w:right w:val="single" w:sz="4" w:space="0" w:color="auto"/>
            </w:tcBorders>
            <w:vAlign w:val="center"/>
            <w:hideMark/>
          </w:tcPr>
          <w:p w14:paraId="1C139DFE" w14:textId="77777777" w:rsidR="00F65771" w:rsidRDefault="00F65771">
            <w:pPr>
              <w:spacing w:line="276" w:lineRule="auto"/>
              <w:jc w:val="center"/>
              <w:rPr>
                <w:lang w:val="en-GB"/>
              </w:rPr>
            </w:pPr>
            <w:r>
              <w:rPr>
                <w:lang w:val="en-GB"/>
              </w:rPr>
              <w:t>Product Description</w:t>
            </w:r>
          </w:p>
        </w:tc>
        <w:tc>
          <w:tcPr>
            <w:tcW w:w="1318" w:type="dxa"/>
            <w:tcBorders>
              <w:top w:val="single" w:sz="4" w:space="0" w:color="auto"/>
              <w:left w:val="single" w:sz="4" w:space="0" w:color="auto"/>
              <w:bottom w:val="single" w:sz="4" w:space="0" w:color="auto"/>
              <w:right w:val="single" w:sz="4" w:space="0" w:color="auto"/>
            </w:tcBorders>
            <w:vAlign w:val="center"/>
            <w:hideMark/>
          </w:tcPr>
          <w:p w14:paraId="37A0E5ED" w14:textId="77777777" w:rsidR="00F65771" w:rsidRDefault="00F65771">
            <w:pPr>
              <w:spacing w:line="276" w:lineRule="auto"/>
              <w:jc w:val="center"/>
              <w:rPr>
                <w:lang w:val="en-GB"/>
              </w:rPr>
            </w:pPr>
            <w:r>
              <w:rPr>
                <w:lang w:val="en-GB"/>
              </w:rPr>
              <w:t>Unit</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2A187F8" w14:textId="77777777" w:rsidR="00F65771" w:rsidRDefault="00F65771">
            <w:pPr>
              <w:spacing w:line="276" w:lineRule="auto"/>
              <w:jc w:val="center"/>
              <w:rPr>
                <w:lang w:val="en-GB"/>
              </w:rPr>
            </w:pPr>
            <w:r>
              <w:rPr>
                <w:lang w:val="en-GB"/>
              </w:rPr>
              <w:t>Q’ty</w:t>
            </w:r>
          </w:p>
        </w:tc>
      </w:tr>
      <w:tr w:rsidR="00F65771" w14:paraId="2DE32F52" w14:textId="77777777" w:rsidTr="00F65771">
        <w:trPr>
          <w:trHeight w:val="502"/>
        </w:trPr>
        <w:tc>
          <w:tcPr>
            <w:tcW w:w="1124" w:type="dxa"/>
            <w:tcBorders>
              <w:top w:val="single" w:sz="4" w:space="0" w:color="auto"/>
              <w:left w:val="single" w:sz="4" w:space="0" w:color="auto"/>
              <w:bottom w:val="single" w:sz="4" w:space="0" w:color="auto"/>
              <w:right w:val="single" w:sz="4" w:space="0" w:color="auto"/>
            </w:tcBorders>
            <w:vAlign w:val="center"/>
            <w:hideMark/>
          </w:tcPr>
          <w:p w14:paraId="22B07F7B" w14:textId="77777777" w:rsidR="00F65771" w:rsidRDefault="00F65771">
            <w:pPr>
              <w:spacing w:line="276" w:lineRule="auto"/>
              <w:jc w:val="center"/>
              <w:rPr>
                <w:lang w:val="en-GB"/>
              </w:rPr>
            </w:pPr>
            <w:r>
              <w:rPr>
                <w:lang w:val="en-GB"/>
              </w:rPr>
              <w:t>1</w:t>
            </w:r>
          </w:p>
        </w:tc>
        <w:tc>
          <w:tcPr>
            <w:tcW w:w="4541" w:type="dxa"/>
            <w:tcBorders>
              <w:top w:val="single" w:sz="4" w:space="0" w:color="auto"/>
              <w:left w:val="single" w:sz="4" w:space="0" w:color="auto"/>
              <w:bottom w:val="single" w:sz="4" w:space="0" w:color="auto"/>
              <w:right w:val="single" w:sz="4" w:space="0" w:color="auto"/>
            </w:tcBorders>
            <w:vAlign w:val="center"/>
            <w:hideMark/>
          </w:tcPr>
          <w:p w14:paraId="6817636E" w14:textId="7CD21CBE" w:rsidR="00F65771" w:rsidRDefault="00F65771">
            <w:pPr>
              <w:spacing w:line="276" w:lineRule="auto"/>
              <w:jc w:val="center"/>
              <w:rPr>
                <w:lang w:val="en-GB"/>
              </w:rPr>
            </w:pPr>
            <w:r w:rsidRPr="00F65771">
              <w:rPr>
                <w:lang w:val="en-GB"/>
              </w:rPr>
              <w:t>NSF-Certified Type A2 Biosafety Cabinet</w:t>
            </w:r>
          </w:p>
        </w:tc>
        <w:tc>
          <w:tcPr>
            <w:tcW w:w="1318" w:type="dxa"/>
            <w:tcBorders>
              <w:top w:val="single" w:sz="4" w:space="0" w:color="auto"/>
              <w:left w:val="single" w:sz="4" w:space="0" w:color="auto"/>
              <w:bottom w:val="single" w:sz="4" w:space="0" w:color="auto"/>
              <w:right w:val="single" w:sz="4" w:space="0" w:color="auto"/>
            </w:tcBorders>
            <w:vAlign w:val="center"/>
            <w:hideMark/>
          </w:tcPr>
          <w:p w14:paraId="644E5351" w14:textId="77777777" w:rsidR="00F65771" w:rsidRDefault="00F65771">
            <w:pPr>
              <w:spacing w:line="276" w:lineRule="auto"/>
              <w:jc w:val="center"/>
              <w:rPr>
                <w:lang w:val="en-GB"/>
              </w:rPr>
            </w:pPr>
            <w:r>
              <w:rPr>
                <w:lang w:val="en-GB"/>
              </w:rPr>
              <w:t>Set</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BDF3AE5" w14:textId="3FEE00C0" w:rsidR="00F65771" w:rsidRDefault="007E1446">
            <w:pPr>
              <w:spacing w:line="276" w:lineRule="auto"/>
              <w:jc w:val="center"/>
              <w:rPr>
                <w:lang w:val="en-GB"/>
              </w:rPr>
            </w:pPr>
            <w:r>
              <w:rPr>
                <w:rFonts w:hint="eastAsia"/>
                <w:lang w:val="en-GB"/>
              </w:rPr>
              <w:t>9</w:t>
            </w:r>
          </w:p>
        </w:tc>
      </w:tr>
    </w:tbl>
    <w:p w14:paraId="7F9B253E" w14:textId="77777777" w:rsidR="00F65771" w:rsidRDefault="00F65771" w:rsidP="00F65771">
      <w:pPr>
        <w:spacing w:line="276" w:lineRule="auto"/>
        <w:rPr>
          <w:sz w:val="22"/>
          <w:szCs w:val="22"/>
          <w:lang w:val="en-GB"/>
        </w:rPr>
      </w:pPr>
    </w:p>
    <w:p w14:paraId="71719782" w14:textId="2C80A96D" w:rsidR="00F65771" w:rsidRDefault="00F65771" w:rsidP="00F65771">
      <w:r>
        <w:rPr>
          <w:rFonts w:hint="eastAsia"/>
        </w:rPr>
        <w:t xml:space="preserve">   </w:t>
      </w:r>
      <w:r>
        <w:t>The Type A2 Biosafety Cabinet is a state-of-the-art containment solution designed to provide both product protection and environmental safety. Certified by the National Sanitation Foundation (NSF), this cabinet meets rigorous standards for personnel, product, and environmental protection, making it ideal for handling microbiological and biomedical materials where the user and the work environment need protection against biological hazards.</w:t>
      </w:r>
    </w:p>
    <w:p w14:paraId="4BA13F35" w14:textId="77777777" w:rsidR="00F65771" w:rsidRDefault="00F65771" w:rsidP="00F65771"/>
    <w:p w14:paraId="01C06980" w14:textId="12039465" w:rsidR="00F65771" w:rsidRPr="00F65771" w:rsidRDefault="00F65771" w:rsidP="00F65771">
      <w:pPr>
        <w:rPr>
          <w:b/>
          <w:bCs/>
          <w:sz w:val="28"/>
          <w:szCs w:val="28"/>
        </w:rPr>
      </w:pPr>
      <w:r w:rsidRPr="00F65771">
        <w:rPr>
          <w:b/>
          <w:bCs/>
          <w:sz w:val="28"/>
          <w:szCs w:val="28"/>
        </w:rPr>
        <w:t>Key Features</w:t>
      </w:r>
    </w:p>
    <w:p w14:paraId="4D9C0015" w14:textId="0BCCA087" w:rsidR="00F65771" w:rsidRDefault="00F65771" w:rsidP="00F65771">
      <w:pPr>
        <w:pStyle w:val="ListParagraph"/>
        <w:numPr>
          <w:ilvl w:val="0"/>
          <w:numId w:val="1"/>
        </w:numPr>
      </w:pPr>
      <w:r w:rsidRPr="00F65771">
        <w:rPr>
          <w:b/>
          <w:bCs/>
        </w:rPr>
        <w:t>Certification:</w:t>
      </w:r>
      <w:r>
        <w:t xml:space="preserve"> NSF-certified, ensuring compliance with strict safety and performance standards.</w:t>
      </w:r>
    </w:p>
    <w:p w14:paraId="7D6D63C6" w14:textId="77777777" w:rsidR="00654C51" w:rsidRDefault="00654C51" w:rsidP="00654C51">
      <w:pPr>
        <w:pStyle w:val="ListParagraph"/>
      </w:pPr>
    </w:p>
    <w:p w14:paraId="74BC0264" w14:textId="026D48C0" w:rsidR="00F65771" w:rsidRDefault="00F65771" w:rsidP="00F65771">
      <w:pPr>
        <w:pStyle w:val="ListParagraph"/>
        <w:numPr>
          <w:ilvl w:val="0"/>
          <w:numId w:val="1"/>
        </w:numPr>
      </w:pPr>
      <w:r w:rsidRPr="00F65771">
        <w:rPr>
          <w:b/>
          <w:bCs/>
        </w:rPr>
        <w:t>Airflow System:</w:t>
      </w:r>
      <w:r>
        <w:t xml:space="preserve"> Vertical laminar airflow with a minimum inflow velocity of 100 fpm (feet per minute) and downflow velocity of 55 fpm, maintaining a stable and contamination-free environment.</w:t>
      </w:r>
    </w:p>
    <w:p w14:paraId="7F98B134" w14:textId="77777777" w:rsidR="00654C51" w:rsidRDefault="00654C51" w:rsidP="00654C51">
      <w:pPr>
        <w:pStyle w:val="ListParagraph"/>
      </w:pPr>
    </w:p>
    <w:p w14:paraId="0BC05421" w14:textId="7B987BD0" w:rsidR="00F65771" w:rsidRDefault="00F65771" w:rsidP="00F65771">
      <w:pPr>
        <w:pStyle w:val="ListParagraph"/>
        <w:numPr>
          <w:ilvl w:val="0"/>
          <w:numId w:val="1"/>
        </w:numPr>
      </w:pPr>
      <w:r w:rsidRPr="00F65771">
        <w:rPr>
          <w:b/>
          <w:bCs/>
        </w:rPr>
        <w:t>ULPA Filtration:</w:t>
      </w:r>
      <w:r w:rsidRPr="00F65771">
        <w:t xml:space="preserve"> Equipped with Ultra Low Penetration Air (ULPA) filters capable of trapping particles as small as 0.12 microns with 99.999% efficiency, surpassing traditional HEPA filters in both particle retention and cleanliness levels. </w:t>
      </w:r>
      <w:r>
        <w:t>Construction: Constructed from stainless steel with a corrosion-resistant powder-coat finish, offering durability and ease of cleaning.</w:t>
      </w:r>
    </w:p>
    <w:p w14:paraId="1B2B2B11" w14:textId="77777777" w:rsidR="00654C51" w:rsidRDefault="00654C51" w:rsidP="00654C51">
      <w:pPr>
        <w:pStyle w:val="ListParagraph"/>
      </w:pPr>
    </w:p>
    <w:p w14:paraId="44FF107B" w14:textId="0DFB60A5" w:rsidR="00654C51" w:rsidRDefault="00F65771" w:rsidP="002A57D9">
      <w:pPr>
        <w:pStyle w:val="ListParagraph"/>
        <w:numPr>
          <w:ilvl w:val="0"/>
          <w:numId w:val="1"/>
        </w:numPr>
      </w:pPr>
      <w:r w:rsidRPr="00F65771">
        <w:rPr>
          <w:b/>
          <w:bCs/>
        </w:rPr>
        <w:t>Safety Features:</w:t>
      </w:r>
      <w:r>
        <w:t xml:space="preserve"> Includes an audible and visual alarm to alert users to any airflow disruptions, ensuring maximum safety during operation.</w:t>
      </w:r>
    </w:p>
    <w:p w14:paraId="586AE8BA" w14:textId="77777777" w:rsidR="002A57D9" w:rsidRDefault="002A57D9" w:rsidP="002A57D9">
      <w:pPr>
        <w:pStyle w:val="ListParagraph"/>
      </w:pPr>
    </w:p>
    <w:p w14:paraId="36C5AC2C" w14:textId="77777777" w:rsidR="002A57D9" w:rsidRDefault="002A57D9" w:rsidP="002A57D9">
      <w:pPr>
        <w:pStyle w:val="ListParagraph"/>
      </w:pPr>
    </w:p>
    <w:p w14:paraId="035078C7" w14:textId="67841F47" w:rsidR="00F65771" w:rsidRDefault="00F65771" w:rsidP="00F65771">
      <w:pPr>
        <w:pStyle w:val="ListParagraph"/>
        <w:numPr>
          <w:ilvl w:val="0"/>
          <w:numId w:val="1"/>
        </w:numPr>
      </w:pPr>
      <w:r w:rsidRPr="00F65771">
        <w:rPr>
          <w:b/>
          <w:bCs/>
        </w:rPr>
        <w:t>Energy Efficiency:</w:t>
      </w:r>
      <w:r>
        <w:t xml:space="preserve"> Features an energy-efficient motor to reduce operational costs and environmental impact.</w:t>
      </w:r>
    </w:p>
    <w:p w14:paraId="581EB132" w14:textId="77777777" w:rsidR="00F65771" w:rsidRDefault="00F65771" w:rsidP="00654C51"/>
    <w:p w14:paraId="49BD85C4" w14:textId="77777777" w:rsidR="002A57D9" w:rsidRDefault="002A57D9" w:rsidP="00654C51"/>
    <w:p w14:paraId="51A87CB1" w14:textId="71426AC7" w:rsidR="00F65771" w:rsidRPr="00F65771" w:rsidRDefault="00F65771" w:rsidP="00F65771">
      <w:pPr>
        <w:rPr>
          <w:b/>
          <w:bCs/>
          <w:sz w:val="32"/>
          <w:szCs w:val="32"/>
        </w:rPr>
      </w:pPr>
      <w:r w:rsidRPr="00F65771">
        <w:rPr>
          <w:b/>
          <w:bCs/>
          <w:sz w:val="32"/>
          <w:szCs w:val="32"/>
        </w:rPr>
        <w:lastRenderedPageBreak/>
        <w:t>Specifications</w:t>
      </w:r>
    </w:p>
    <w:p w14:paraId="42D4C6C9" w14:textId="7B18C3AA" w:rsidR="00F65771" w:rsidRDefault="00F65771" w:rsidP="00F65771">
      <w:pPr>
        <w:pStyle w:val="ListParagraph"/>
        <w:numPr>
          <w:ilvl w:val="0"/>
          <w:numId w:val="3"/>
        </w:numPr>
      </w:pPr>
      <w:r>
        <w:t xml:space="preserve">Noise Level: Less than </w:t>
      </w:r>
      <w:r>
        <w:rPr>
          <w:rFonts w:hint="eastAsia"/>
        </w:rPr>
        <w:t>70</w:t>
      </w:r>
      <w:r>
        <w:t xml:space="preserve"> dB</w:t>
      </w:r>
    </w:p>
    <w:p w14:paraId="77DADF36" w14:textId="60DB1764" w:rsidR="00F65771" w:rsidRDefault="00F65771" w:rsidP="00F65771">
      <w:pPr>
        <w:pStyle w:val="ListParagraph"/>
        <w:numPr>
          <w:ilvl w:val="0"/>
          <w:numId w:val="3"/>
        </w:numPr>
      </w:pPr>
      <w:r>
        <w:t xml:space="preserve">Power Supply: </w:t>
      </w:r>
      <w:r>
        <w:rPr>
          <w:rFonts w:hint="eastAsia"/>
        </w:rPr>
        <w:t>220</w:t>
      </w:r>
      <w:r>
        <w:t xml:space="preserve"> V</w:t>
      </w:r>
    </w:p>
    <w:p w14:paraId="4156681B" w14:textId="02E465AA" w:rsidR="000A226E" w:rsidRDefault="000A226E" w:rsidP="00F65771">
      <w:pPr>
        <w:pStyle w:val="ListParagraph"/>
        <w:numPr>
          <w:ilvl w:val="0"/>
          <w:numId w:val="3"/>
        </w:numPr>
      </w:pPr>
      <w:r>
        <w:rPr>
          <w:rFonts w:hint="eastAsia"/>
        </w:rPr>
        <w:t>Size: 4 ft</w:t>
      </w:r>
    </w:p>
    <w:p w14:paraId="77700E48" w14:textId="77777777" w:rsidR="00F65771" w:rsidRDefault="00F65771" w:rsidP="00F65771"/>
    <w:p w14:paraId="273A0AC3" w14:textId="20E0DE6A" w:rsidR="00F65771" w:rsidRPr="00F65771" w:rsidRDefault="00F65771" w:rsidP="00F65771">
      <w:pPr>
        <w:rPr>
          <w:b/>
          <w:bCs/>
          <w:sz w:val="28"/>
          <w:szCs w:val="28"/>
        </w:rPr>
      </w:pPr>
      <w:r w:rsidRPr="00F65771">
        <w:rPr>
          <w:b/>
          <w:bCs/>
          <w:sz w:val="28"/>
          <w:szCs w:val="28"/>
        </w:rPr>
        <w:t>Additional Components</w:t>
      </w:r>
    </w:p>
    <w:p w14:paraId="78BBA936" w14:textId="6EB567F3" w:rsidR="00F65771" w:rsidRDefault="00F65771" w:rsidP="00F65771">
      <w:pPr>
        <w:pStyle w:val="ListParagraph"/>
        <w:numPr>
          <w:ilvl w:val="0"/>
          <w:numId w:val="2"/>
        </w:numPr>
      </w:pPr>
      <w:r>
        <w:t>UV Light: UV lamp for decontamination processes.</w:t>
      </w:r>
    </w:p>
    <w:p w14:paraId="44FA6A94" w14:textId="77777777" w:rsidR="00F65771" w:rsidRDefault="00F65771" w:rsidP="00F65771">
      <w:pPr>
        <w:pStyle w:val="ListParagraph"/>
        <w:numPr>
          <w:ilvl w:val="0"/>
          <w:numId w:val="2"/>
        </w:numPr>
      </w:pPr>
      <w:r>
        <w:t>Service Valves: Built-in service valves for gas, air, and vacuum services to accommodate a wide range of research needs.</w:t>
      </w:r>
    </w:p>
    <w:p w14:paraId="0156964C" w14:textId="02279E8E" w:rsidR="00F65771" w:rsidRDefault="00F65771" w:rsidP="00F65771">
      <w:pPr>
        <w:pStyle w:val="ListParagraph"/>
        <w:numPr>
          <w:ilvl w:val="0"/>
          <w:numId w:val="2"/>
        </w:numPr>
      </w:pPr>
      <w:r>
        <w:t>Utility Ports: Multiple built-in ports for easy integration of additional equipment.</w:t>
      </w:r>
    </w:p>
    <w:p w14:paraId="47F2318E" w14:textId="77777777" w:rsidR="00F65771" w:rsidRDefault="00F65771" w:rsidP="00F65771"/>
    <w:p w14:paraId="6C2A8530" w14:textId="4C2DEBFF" w:rsidR="00F65771" w:rsidRPr="00F65771" w:rsidRDefault="00F65771" w:rsidP="00F65771">
      <w:pPr>
        <w:rPr>
          <w:b/>
          <w:bCs/>
          <w:sz w:val="28"/>
          <w:szCs w:val="28"/>
        </w:rPr>
      </w:pPr>
      <w:r w:rsidRPr="00F65771">
        <w:rPr>
          <w:b/>
          <w:bCs/>
          <w:sz w:val="28"/>
          <w:szCs w:val="28"/>
        </w:rPr>
        <w:t>Warranty and Support</w:t>
      </w:r>
    </w:p>
    <w:p w14:paraId="36446139" w14:textId="5F30405F" w:rsidR="00F65771" w:rsidRDefault="00F65771" w:rsidP="00F65771">
      <w:pPr>
        <w:pStyle w:val="ListParagraph"/>
        <w:numPr>
          <w:ilvl w:val="0"/>
          <w:numId w:val="2"/>
        </w:numPr>
      </w:pPr>
      <w:r>
        <w:t xml:space="preserve">Warranty: </w:t>
      </w:r>
      <w:r>
        <w:rPr>
          <w:rFonts w:hint="eastAsia"/>
        </w:rPr>
        <w:t>5</w:t>
      </w:r>
      <w:r>
        <w:t>-year warranty on all components, with extended service options available.</w:t>
      </w:r>
    </w:p>
    <w:p w14:paraId="7A0F29F1" w14:textId="77777777" w:rsidR="00F65771" w:rsidRDefault="00F65771" w:rsidP="00F65771"/>
    <w:p w14:paraId="78129842" w14:textId="32C900A8" w:rsidR="00F65771" w:rsidRPr="00F65771" w:rsidRDefault="00F65771" w:rsidP="00F65771">
      <w:pPr>
        <w:rPr>
          <w:b/>
          <w:bCs/>
          <w:sz w:val="28"/>
          <w:szCs w:val="28"/>
        </w:rPr>
      </w:pPr>
      <w:r w:rsidRPr="00F65771">
        <w:rPr>
          <w:b/>
          <w:bCs/>
          <w:sz w:val="28"/>
          <w:szCs w:val="28"/>
        </w:rPr>
        <w:t>Delivery and Installation</w:t>
      </w:r>
    </w:p>
    <w:p w14:paraId="72E1F05E" w14:textId="431E152E" w:rsidR="00AC6AF8" w:rsidRDefault="00AC6AF8" w:rsidP="00AC6AF8">
      <w:pPr>
        <w:pStyle w:val="ListParagraph"/>
        <w:numPr>
          <w:ilvl w:val="0"/>
          <w:numId w:val="2"/>
        </w:numPr>
      </w:pPr>
      <w:r>
        <w:t xml:space="preserve">Lead Time: </w:t>
      </w:r>
      <w:r w:rsidR="006C67E9" w:rsidRPr="006C67E9">
        <w:t>Within 3 months from the contract date</w:t>
      </w:r>
      <w:r>
        <w:t>.</w:t>
      </w:r>
    </w:p>
    <w:p w14:paraId="60CF3EC9" w14:textId="77777777" w:rsidR="00AC6AF8" w:rsidRDefault="00AC6AF8" w:rsidP="00AC6AF8">
      <w:pPr>
        <w:pStyle w:val="ListParagraph"/>
        <w:numPr>
          <w:ilvl w:val="0"/>
          <w:numId w:val="2"/>
        </w:numPr>
      </w:pPr>
      <w:r>
        <w:t>Installation: Comprehensive on-site installation by certified technicians, including operational training and certification for use.</w:t>
      </w:r>
    </w:p>
    <w:p w14:paraId="74FC9DAC" w14:textId="340E16DD" w:rsidR="00930AA9" w:rsidRDefault="00AC6AF8" w:rsidP="00AC6AF8">
      <w:pPr>
        <w:pStyle w:val="ListParagraph"/>
        <w:numPr>
          <w:ilvl w:val="0"/>
          <w:numId w:val="2"/>
        </w:numPr>
      </w:pPr>
      <w:r>
        <w:t xml:space="preserve">Equipment Disposal: For the purchase of </w:t>
      </w:r>
      <w:r w:rsidR="00D104CB">
        <w:rPr>
          <w:rFonts w:hint="eastAsia"/>
        </w:rPr>
        <w:t xml:space="preserve">9 </w:t>
      </w:r>
      <w:r>
        <w:t xml:space="preserve">units, </w:t>
      </w:r>
      <w:r w:rsidR="00D104CB">
        <w:rPr>
          <w:rFonts w:hint="eastAsia"/>
        </w:rPr>
        <w:t>5</w:t>
      </w:r>
      <w:r>
        <w:t xml:space="preserve"> will be provided </w:t>
      </w:r>
      <w:proofErr w:type="gramStart"/>
      <w:r>
        <w:t>under</w:t>
      </w:r>
      <w:proofErr w:type="gramEnd"/>
      <w:r>
        <w:t xml:space="preserve"> the condition that the existing equipment being replaced is disposed of and removed at the time of new equipment installation.</w:t>
      </w:r>
    </w:p>
    <w:p w14:paraId="62CA51DB" w14:textId="333061B2" w:rsidR="00D877FC" w:rsidRDefault="00D877FC" w:rsidP="00AC6AF8">
      <w:pPr>
        <w:pStyle w:val="ListParagraph"/>
        <w:numPr>
          <w:ilvl w:val="0"/>
          <w:numId w:val="2"/>
        </w:numPr>
      </w:pPr>
      <w:r w:rsidRPr="00D877FC">
        <w:t xml:space="preserve">Validation: All biosafety cabinets will include complete validation services to ensure full operational compliance and performance </w:t>
      </w:r>
      <w:r>
        <w:rPr>
          <w:rFonts w:hint="eastAsia"/>
        </w:rPr>
        <w:t>after</w:t>
      </w:r>
      <w:r w:rsidRPr="00D877FC">
        <w:t xml:space="preserve"> delivery.</w:t>
      </w:r>
    </w:p>
    <w:p w14:paraId="4AB4F6E0" w14:textId="77777777" w:rsidR="008979D8" w:rsidRDefault="008979D8" w:rsidP="008979D8"/>
    <w:p w14:paraId="407A7127" w14:textId="01CF9FF8" w:rsidR="008979D8" w:rsidRPr="008979D8" w:rsidRDefault="008979D8" w:rsidP="008979D8">
      <w:pPr>
        <w:rPr>
          <w:b/>
          <w:bCs/>
        </w:rPr>
      </w:pPr>
      <w:r w:rsidRPr="008979D8">
        <w:rPr>
          <w:rFonts w:hint="eastAsia"/>
          <w:b/>
          <w:bCs/>
        </w:rPr>
        <w:t>위</w:t>
      </w:r>
      <w:r w:rsidRPr="008979D8">
        <w:rPr>
          <w:rFonts w:hint="eastAsia"/>
          <w:b/>
          <w:bCs/>
        </w:rPr>
        <w:t xml:space="preserve"> </w:t>
      </w:r>
      <w:r w:rsidRPr="008979D8">
        <w:rPr>
          <w:rFonts w:hint="eastAsia"/>
          <w:b/>
          <w:bCs/>
        </w:rPr>
        <w:t>규격서에서</w:t>
      </w:r>
      <w:r w:rsidRPr="008979D8">
        <w:rPr>
          <w:rFonts w:hint="eastAsia"/>
          <w:b/>
          <w:bCs/>
        </w:rPr>
        <w:t xml:space="preserve"> </w:t>
      </w:r>
      <w:r w:rsidRPr="008979D8">
        <w:rPr>
          <w:rFonts w:hint="eastAsia"/>
          <w:b/>
          <w:bCs/>
        </w:rPr>
        <w:t>명시한</w:t>
      </w:r>
      <w:r w:rsidRPr="008979D8">
        <w:rPr>
          <w:rFonts w:hint="eastAsia"/>
          <w:b/>
          <w:bCs/>
        </w:rPr>
        <w:t xml:space="preserve"> </w:t>
      </w:r>
      <w:r w:rsidRPr="008979D8">
        <w:rPr>
          <w:rFonts w:hint="eastAsia"/>
          <w:b/>
          <w:bCs/>
        </w:rPr>
        <w:t>제품과</w:t>
      </w:r>
      <w:r w:rsidRPr="008979D8">
        <w:rPr>
          <w:rFonts w:hint="eastAsia"/>
          <w:b/>
          <w:bCs/>
        </w:rPr>
        <w:t xml:space="preserve"> </w:t>
      </w:r>
      <w:r w:rsidRPr="008979D8">
        <w:rPr>
          <w:rFonts w:hint="eastAsia"/>
          <w:b/>
          <w:bCs/>
        </w:rPr>
        <w:t>동등</w:t>
      </w:r>
      <w:r w:rsidRPr="008979D8">
        <w:rPr>
          <w:rFonts w:hint="eastAsia"/>
          <w:b/>
          <w:bCs/>
        </w:rPr>
        <w:t xml:space="preserve"> </w:t>
      </w:r>
      <w:r w:rsidRPr="008979D8">
        <w:rPr>
          <w:rFonts w:hint="eastAsia"/>
          <w:b/>
          <w:bCs/>
        </w:rPr>
        <w:t>이상의</w:t>
      </w:r>
      <w:r w:rsidRPr="008979D8">
        <w:rPr>
          <w:rFonts w:hint="eastAsia"/>
          <w:b/>
          <w:bCs/>
        </w:rPr>
        <w:t xml:space="preserve"> </w:t>
      </w:r>
      <w:r w:rsidRPr="008979D8">
        <w:rPr>
          <w:rFonts w:hint="eastAsia"/>
          <w:b/>
          <w:bCs/>
        </w:rPr>
        <w:t>다른</w:t>
      </w:r>
      <w:r w:rsidRPr="008979D8">
        <w:rPr>
          <w:rFonts w:hint="eastAsia"/>
          <w:b/>
          <w:bCs/>
        </w:rPr>
        <w:t xml:space="preserve"> </w:t>
      </w:r>
      <w:r w:rsidRPr="008979D8">
        <w:rPr>
          <w:rFonts w:hint="eastAsia"/>
          <w:b/>
          <w:bCs/>
        </w:rPr>
        <w:t>제품</w:t>
      </w:r>
      <w:r w:rsidRPr="008979D8">
        <w:rPr>
          <w:rFonts w:hint="eastAsia"/>
          <w:b/>
          <w:bCs/>
        </w:rPr>
        <w:t xml:space="preserve"> </w:t>
      </w:r>
      <w:r w:rsidRPr="008979D8">
        <w:rPr>
          <w:rFonts w:hint="eastAsia"/>
          <w:b/>
          <w:bCs/>
        </w:rPr>
        <w:t>납품이</w:t>
      </w:r>
      <w:r w:rsidRPr="008979D8">
        <w:rPr>
          <w:rFonts w:hint="eastAsia"/>
          <w:b/>
          <w:bCs/>
        </w:rPr>
        <w:t xml:space="preserve"> </w:t>
      </w:r>
      <w:r w:rsidRPr="008979D8">
        <w:rPr>
          <w:rFonts w:hint="eastAsia"/>
          <w:b/>
          <w:bCs/>
        </w:rPr>
        <w:t>가능한</w:t>
      </w:r>
      <w:r w:rsidRPr="008979D8">
        <w:rPr>
          <w:rFonts w:hint="eastAsia"/>
          <w:b/>
          <w:bCs/>
        </w:rPr>
        <w:t xml:space="preserve"> </w:t>
      </w:r>
      <w:r w:rsidRPr="008979D8">
        <w:rPr>
          <w:rFonts w:hint="eastAsia"/>
          <w:b/>
          <w:bCs/>
        </w:rPr>
        <w:t>업체는</w:t>
      </w:r>
      <w:r w:rsidRPr="008979D8">
        <w:rPr>
          <w:rFonts w:hint="eastAsia"/>
          <w:b/>
          <w:bCs/>
        </w:rPr>
        <w:t xml:space="preserve"> </w:t>
      </w:r>
      <w:r w:rsidRPr="008979D8">
        <w:rPr>
          <w:rFonts w:hint="eastAsia"/>
          <w:b/>
          <w:bCs/>
        </w:rPr>
        <w:t>입찰에</w:t>
      </w:r>
      <w:r w:rsidRPr="008979D8">
        <w:rPr>
          <w:rFonts w:hint="eastAsia"/>
          <w:b/>
          <w:bCs/>
        </w:rPr>
        <w:t xml:space="preserve"> </w:t>
      </w:r>
      <w:r w:rsidRPr="008979D8">
        <w:rPr>
          <w:rFonts w:hint="eastAsia"/>
          <w:b/>
          <w:bCs/>
        </w:rPr>
        <w:t>참가할</w:t>
      </w:r>
      <w:r w:rsidRPr="008979D8">
        <w:rPr>
          <w:rFonts w:hint="eastAsia"/>
          <w:b/>
          <w:bCs/>
        </w:rPr>
        <w:t xml:space="preserve"> </w:t>
      </w:r>
      <w:r w:rsidRPr="008979D8">
        <w:rPr>
          <w:rFonts w:hint="eastAsia"/>
          <w:b/>
          <w:bCs/>
        </w:rPr>
        <w:t>수</w:t>
      </w:r>
      <w:r w:rsidRPr="008979D8">
        <w:rPr>
          <w:rFonts w:hint="eastAsia"/>
          <w:b/>
          <w:bCs/>
        </w:rPr>
        <w:t xml:space="preserve"> </w:t>
      </w:r>
      <w:r w:rsidRPr="008979D8">
        <w:rPr>
          <w:rFonts w:hint="eastAsia"/>
          <w:b/>
          <w:bCs/>
        </w:rPr>
        <w:t>있음</w:t>
      </w:r>
      <w:r w:rsidRPr="008979D8">
        <w:rPr>
          <w:rFonts w:hint="eastAsia"/>
          <w:b/>
          <w:bCs/>
        </w:rPr>
        <w:t>.</w:t>
      </w:r>
    </w:p>
    <w:sectPr w:rsidR="008979D8" w:rsidRPr="008979D8">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2F13A8"/>
    <w:multiLevelType w:val="hybridMultilevel"/>
    <w:tmpl w:val="63728D48"/>
    <w:lvl w:ilvl="0" w:tplc="735AA982">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8B591D"/>
    <w:multiLevelType w:val="hybridMultilevel"/>
    <w:tmpl w:val="CDA25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2B740C"/>
    <w:multiLevelType w:val="hybridMultilevel"/>
    <w:tmpl w:val="B804DF84"/>
    <w:lvl w:ilvl="0" w:tplc="1494F514">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443458">
    <w:abstractNumId w:val="1"/>
  </w:num>
  <w:num w:numId="2" w16cid:durableId="142624433">
    <w:abstractNumId w:val="0"/>
  </w:num>
  <w:num w:numId="3" w16cid:durableId="644940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71"/>
    <w:rsid w:val="00092EDD"/>
    <w:rsid w:val="000A226E"/>
    <w:rsid w:val="000B7249"/>
    <w:rsid w:val="002A57D9"/>
    <w:rsid w:val="004A7F3B"/>
    <w:rsid w:val="00554B14"/>
    <w:rsid w:val="00654C51"/>
    <w:rsid w:val="006C67E9"/>
    <w:rsid w:val="007E1446"/>
    <w:rsid w:val="00880836"/>
    <w:rsid w:val="008979D8"/>
    <w:rsid w:val="00930AA9"/>
    <w:rsid w:val="00A408E0"/>
    <w:rsid w:val="00AB32DC"/>
    <w:rsid w:val="00AC6AF8"/>
    <w:rsid w:val="00BE248C"/>
    <w:rsid w:val="00D104CB"/>
    <w:rsid w:val="00D324B2"/>
    <w:rsid w:val="00D877FC"/>
    <w:rsid w:val="00F657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901B"/>
  <w15:chartTrackingRefBased/>
  <w15:docId w15:val="{8D96FFDA-C6BA-4AFF-AFD4-ED1FF58A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5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57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57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7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771"/>
    <w:rPr>
      <w:rFonts w:eastAsiaTheme="majorEastAsia" w:cstheme="majorBidi"/>
      <w:color w:val="272727" w:themeColor="text1" w:themeTint="D8"/>
    </w:rPr>
  </w:style>
  <w:style w:type="paragraph" w:styleId="Title">
    <w:name w:val="Title"/>
    <w:basedOn w:val="Normal"/>
    <w:next w:val="Normal"/>
    <w:link w:val="TitleChar"/>
    <w:uiPriority w:val="10"/>
    <w:qFormat/>
    <w:rsid w:val="00F65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771"/>
    <w:pPr>
      <w:spacing w:before="160"/>
      <w:jc w:val="center"/>
    </w:pPr>
    <w:rPr>
      <w:i/>
      <w:iCs/>
      <w:color w:val="404040" w:themeColor="text1" w:themeTint="BF"/>
    </w:rPr>
  </w:style>
  <w:style w:type="character" w:customStyle="1" w:styleId="QuoteChar">
    <w:name w:val="Quote Char"/>
    <w:basedOn w:val="DefaultParagraphFont"/>
    <w:link w:val="Quote"/>
    <w:uiPriority w:val="29"/>
    <w:rsid w:val="00F65771"/>
    <w:rPr>
      <w:i/>
      <w:iCs/>
      <w:color w:val="404040" w:themeColor="text1" w:themeTint="BF"/>
    </w:rPr>
  </w:style>
  <w:style w:type="paragraph" w:styleId="ListParagraph">
    <w:name w:val="List Paragraph"/>
    <w:basedOn w:val="Normal"/>
    <w:uiPriority w:val="34"/>
    <w:qFormat/>
    <w:rsid w:val="00F65771"/>
    <w:pPr>
      <w:ind w:left="720"/>
      <w:contextualSpacing/>
    </w:pPr>
  </w:style>
  <w:style w:type="character" w:styleId="IntenseEmphasis">
    <w:name w:val="Intense Emphasis"/>
    <w:basedOn w:val="DefaultParagraphFont"/>
    <w:uiPriority w:val="21"/>
    <w:qFormat/>
    <w:rsid w:val="00F65771"/>
    <w:rPr>
      <w:i/>
      <w:iCs/>
      <w:color w:val="2F5496" w:themeColor="accent1" w:themeShade="BF"/>
    </w:rPr>
  </w:style>
  <w:style w:type="paragraph" w:styleId="IntenseQuote">
    <w:name w:val="Intense Quote"/>
    <w:basedOn w:val="Normal"/>
    <w:next w:val="Normal"/>
    <w:link w:val="IntenseQuoteChar"/>
    <w:uiPriority w:val="30"/>
    <w:qFormat/>
    <w:rsid w:val="00F65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771"/>
    <w:rPr>
      <w:i/>
      <w:iCs/>
      <w:color w:val="2F5496" w:themeColor="accent1" w:themeShade="BF"/>
    </w:rPr>
  </w:style>
  <w:style w:type="character" w:styleId="IntenseReference">
    <w:name w:val="Intense Reference"/>
    <w:basedOn w:val="DefaultParagraphFont"/>
    <w:uiPriority w:val="32"/>
    <w:qFormat/>
    <w:rsid w:val="00F65771"/>
    <w:rPr>
      <w:b/>
      <w:bCs/>
      <w:smallCaps/>
      <w:color w:val="2F5496" w:themeColor="accent1" w:themeShade="BF"/>
      <w:spacing w:val="5"/>
    </w:rPr>
  </w:style>
  <w:style w:type="table" w:styleId="TableGrid">
    <w:name w:val="Table Grid"/>
    <w:basedOn w:val="TableNormal"/>
    <w:uiPriority w:val="39"/>
    <w:rsid w:val="00F65771"/>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0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Sohee Kim</dc:creator>
  <cp:keywords/>
  <dc:description/>
  <cp:lastModifiedBy>GaHee Kim</cp:lastModifiedBy>
  <cp:revision>9</cp:revision>
  <dcterms:created xsi:type="dcterms:W3CDTF">2024-05-20T04:19:00Z</dcterms:created>
  <dcterms:modified xsi:type="dcterms:W3CDTF">2024-05-20T06:49:00Z</dcterms:modified>
</cp:coreProperties>
</file>