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250F" w14:textId="5516B844" w:rsidR="00B24E11" w:rsidRPr="00253C17" w:rsidRDefault="00DF4384" w:rsidP="00253C17">
      <w:pPr>
        <w:jc w:val="center"/>
        <w:rPr>
          <w:b/>
          <w:bCs/>
          <w:sz w:val="32"/>
          <w:szCs w:val="32"/>
          <w:lang w:eastAsia="ko-KR"/>
        </w:rPr>
      </w:pPr>
      <w:r>
        <w:rPr>
          <w:rFonts w:ascii="맑은 고딕" w:eastAsia="맑은 고딕" w:hAnsi="맑은 고딕" w:cs="맑은 고딕"/>
          <w:b/>
          <w:bCs/>
          <w:sz w:val="32"/>
          <w:szCs w:val="32"/>
          <w:lang w:eastAsia="ko-KR"/>
        </w:rPr>
        <w:t>TFF System specification</w:t>
      </w:r>
    </w:p>
    <w:p w14:paraId="2809FEB4" w14:textId="672F94AE" w:rsidR="00253C17" w:rsidRDefault="00253C17"/>
    <w:p w14:paraId="2767D6BE" w14:textId="55A5F058" w:rsidR="00253C17" w:rsidRDefault="00253C17"/>
    <w:tbl>
      <w:tblPr>
        <w:tblStyle w:val="TableGrid"/>
        <w:tblW w:w="0" w:type="auto"/>
        <w:jc w:val="center"/>
        <w:tblLook w:val="04A0" w:firstRow="1" w:lastRow="0" w:firstColumn="1" w:lastColumn="0" w:noHBand="0" w:noVBand="1"/>
      </w:tblPr>
      <w:tblGrid>
        <w:gridCol w:w="1870"/>
        <w:gridCol w:w="1185"/>
        <w:gridCol w:w="3780"/>
        <w:gridCol w:w="1170"/>
        <w:gridCol w:w="1345"/>
      </w:tblGrid>
      <w:tr w:rsidR="00253C17" w14:paraId="4941A1FA" w14:textId="77777777" w:rsidTr="00253C17">
        <w:trPr>
          <w:jc w:val="center"/>
        </w:trPr>
        <w:tc>
          <w:tcPr>
            <w:tcW w:w="1870" w:type="dxa"/>
          </w:tcPr>
          <w:p w14:paraId="3C0BE718" w14:textId="2A296BA6" w:rsidR="00253C17" w:rsidRPr="00253C17" w:rsidRDefault="00253C17" w:rsidP="00253C17">
            <w:pPr>
              <w:spacing w:line="480" w:lineRule="auto"/>
              <w:jc w:val="center"/>
              <w:rPr>
                <w:b/>
                <w:bCs/>
              </w:rPr>
            </w:pPr>
            <w:r w:rsidRPr="00253C17">
              <w:rPr>
                <w:b/>
                <w:bCs/>
              </w:rPr>
              <w:t>HSK No.</w:t>
            </w:r>
          </w:p>
        </w:tc>
        <w:tc>
          <w:tcPr>
            <w:tcW w:w="1185" w:type="dxa"/>
          </w:tcPr>
          <w:p w14:paraId="2FAD46B5" w14:textId="67D5286E" w:rsidR="00253C17" w:rsidRPr="00253C17" w:rsidRDefault="00253C17" w:rsidP="00253C17">
            <w:pPr>
              <w:spacing w:line="480" w:lineRule="auto"/>
              <w:jc w:val="center"/>
              <w:rPr>
                <w:b/>
                <w:bCs/>
              </w:rPr>
            </w:pPr>
            <w:r w:rsidRPr="00253C17">
              <w:rPr>
                <w:b/>
                <w:bCs/>
              </w:rPr>
              <w:t>Item No.</w:t>
            </w:r>
          </w:p>
        </w:tc>
        <w:tc>
          <w:tcPr>
            <w:tcW w:w="3780" w:type="dxa"/>
          </w:tcPr>
          <w:p w14:paraId="257E5011" w14:textId="72DB8EC2" w:rsidR="00253C17" w:rsidRPr="00253C17" w:rsidRDefault="00253C17" w:rsidP="00253C17">
            <w:pPr>
              <w:spacing w:line="480" w:lineRule="auto"/>
              <w:jc w:val="center"/>
              <w:rPr>
                <w:b/>
                <w:bCs/>
              </w:rPr>
            </w:pPr>
            <w:r w:rsidRPr="00253C17">
              <w:rPr>
                <w:b/>
                <w:bCs/>
              </w:rPr>
              <w:t>Description</w:t>
            </w:r>
          </w:p>
        </w:tc>
        <w:tc>
          <w:tcPr>
            <w:tcW w:w="1170" w:type="dxa"/>
          </w:tcPr>
          <w:p w14:paraId="79D26C7F" w14:textId="04F330FF" w:rsidR="00253C17" w:rsidRPr="00253C17" w:rsidRDefault="00253C17" w:rsidP="00253C17">
            <w:pPr>
              <w:spacing w:line="480" w:lineRule="auto"/>
              <w:jc w:val="center"/>
              <w:rPr>
                <w:b/>
                <w:bCs/>
              </w:rPr>
            </w:pPr>
            <w:r w:rsidRPr="00253C17">
              <w:rPr>
                <w:b/>
                <w:bCs/>
              </w:rPr>
              <w:t>Units</w:t>
            </w:r>
          </w:p>
        </w:tc>
        <w:tc>
          <w:tcPr>
            <w:tcW w:w="1345" w:type="dxa"/>
          </w:tcPr>
          <w:p w14:paraId="1899398D" w14:textId="0A2F5617" w:rsidR="00253C17" w:rsidRPr="00253C17" w:rsidRDefault="00253C17" w:rsidP="00253C17">
            <w:pPr>
              <w:spacing w:line="480" w:lineRule="auto"/>
              <w:jc w:val="center"/>
              <w:rPr>
                <w:b/>
                <w:bCs/>
              </w:rPr>
            </w:pPr>
            <w:r w:rsidRPr="00253C17">
              <w:rPr>
                <w:b/>
                <w:bCs/>
              </w:rPr>
              <w:t>Quantity</w:t>
            </w:r>
          </w:p>
        </w:tc>
      </w:tr>
      <w:tr w:rsidR="00253C17" w14:paraId="0AA96CFA" w14:textId="77777777" w:rsidTr="00253C17">
        <w:trPr>
          <w:jc w:val="center"/>
        </w:trPr>
        <w:tc>
          <w:tcPr>
            <w:tcW w:w="1870" w:type="dxa"/>
          </w:tcPr>
          <w:p w14:paraId="75EFBFCB" w14:textId="77777777" w:rsidR="00253C17" w:rsidRDefault="00253C17" w:rsidP="00253C17">
            <w:pPr>
              <w:jc w:val="center"/>
            </w:pPr>
          </w:p>
        </w:tc>
        <w:tc>
          <w:tcPr>
            <w:tcW w:w="1185" w:type="dxa"/>
          </w:tcPr>
          <w:p w14:paraId="099DD5FF" w14:textId="550655F8" w:rsidR="00253C17" w:rsidRDefault="00253C17" w:rsidP="00253C17">
            <w:pPr>
              <w:jc w:val="center"/>
            </w:pPr>
            <w:r>
              <w:t>1</w:t>
            </w:r>
          </w:p>
        </w:tc>
        <w:tc>
          <w:tcPr>
            <w:tcW w:w="3780" w:type="dxa"/>
          </w:tcPr>
          <w:p w14:paraId="072745DF" w14:textId="5D0E8A5C" w:rsidR="00253C17" w:rsidRDefault="00253C17" w:rsidP="00253C17">
            <w:pPr>
              <w:jc w:val="center"/>
            </w:pPr>
            <w:r>
              <w:t>Semi-automatic laboratory scale tangential flow filtration (TFF) system</w:t>
            </w:r>
          </w:p>
        </w:tc>
        <w:tc>
          <w:tcPr>
            <w:tcW w:w="1170" w:type="dxa"/>
          </w:tcPr>
          <w:p w14:paraId="08B03243" w14:textId="5239FB79" w:rsidR="00253C17" w:rsidRDefault="00253C17" w:rsidP="00253C17">
            <w:pPr>
              <w:jc w:val="center"/>
            </w:pPr>
            <w:r>
              <w:t>SYS</w:t>
            </w:r>
          </w:p>
        </w:tc>
        <w:tc>
          <w:tcPr>
            <w:tcW w:w="1345" w:type="dxa"/>
          </w:tcPr>
          <w:p w14:paraId="6A84FB4B" w14:textId="4395AA57" w:rsidR="00253C17" w:rsidRDefault="00253C17" w:rsidP="00253C17">
            <w:pPr>
              <w:jc w:val="center"/>
            </w:pPr>
            <w:r>
              <w:t>1</w:t>
            </w:r>
          </w:p>
        </w:tc>
      </w:tr>
    </w:tbl>
    <w:p w14:paraId="5A023815" w14:textId="1571221B" w:rsidR="00253C17" w:rsidRDefault="00253C17"/>
    <w:p w14:paraId="303634C9" w14:textId="1AD89CD5" w:rsidR="00253C17" w:rsidRPr="00253C17" w:rsidRDefault="00253C17" w:rsidP="00253C17">
      <w:pPr>
        <w:pStyle w:val="ListParagraph"/>
        <w:numPr>
          <w:ilvl w:val="0"/>
          <w:numId w:val="1"/>
        </w:numPr>
        <w:rPr>
          <w:b/>
          <w:bCs/>
        </w:rPr>
      </w:pPr>
      <w:r w:rsidRPr="00253C17">
        <w:rPr>
          <w:b/>
          <w:bCs/>
        </w:rPr>
        <w:t>End-user’s Uses</w:t>
      </w:r>
    </w:p>
    <w:p w14:paraId="2FDFE975" w14:textId="6052C4C1" w:rsidR="00253C17" w:rsidRDefault="00253C17" w:rsidP="00253C17">
      <w:pPr>
        <w:pStyle w:val="ListParagraph"/>
        <w:numPr>
          <w:ilvl w:val="1"/>
          <w:numId w:val="1"/>
        </w:numPr>
      </w:pPr>
      <w:r>
        <w:t xml:space="preserve">Laboratory scale tangential flow filtration (TFF) system wherein multiple operation </w:t>
      </w:r>
      <w:r w:rsidR="00AC18F3">
        <w:t>should be possible such as concentration, diafiltration, single pass TFF, Hollow fiber operation capabilities.</w:t>
      </w:r>
    </w:p>
    <w:p w14:paraId="7DE832BA" w14:textId="275C11E3" w:rsidR="00AC18F3" w:rsidRDefault="00AC18F3" w:rsidP="00253C17">
      <w:pPr>
        <w:pStyle w:val="ListParagraph"/>
        <w:numPr>
          <w:ilvl w:val="1"/>
          <w:numId w:val="1"/>
        </w:numPr>
      </w:pPr>
      <w:r>
        <w:t>TFF system should be able to handle a cassette size in a range of 0.1 to 1 m</w:t>
      </w:r>
      <w:r w:rsidRPr="00AC18F3">
        <w:rPr>
          <w:vertAlign w:val="superscript"/>
        </w:rPr>
        <w:t>2</w:t>
      </w:r>
      <w:r>
        <w:t xml:space="preserve"> of surface area. </w:t>
      </w:r>
    </w:p>
    <w:p w14:paraId="12270922" w14:textId="1A2B7F00" w:rsidR="00AC18F3" w:rsidRDefault="00AC18F3" w:rsidP="00253C17">
      <w:pPr>
        <w:pStyle w:val="ListParagraph"/>
        <w:numPr>
          <w:ilvl w:val="1"/>
          <w:numId w:val="1"/>
        </w:numPr>
      </w:pPr>
      <w:r>
        <w:t xml:space="preserve">System should be equipped with HMI and software to control and automate the </w:t>
      </w:r>
      <w:proofErr w:type="spellStart"/>
      <w:r>
        <w:t>macrosteps</w:t>
      </w:r>
      <w:proofErr w:type="spellEnd"/>
      <w:r>
        <w:t xml:space="preserve"> such as concentration, diafiltration, recirculation, flushing, tank emptying and tank filling.  </w:t>
      </w:r>
    </w:p>
    <w:p w14:paraId="07156E14" w14:textId="7D06116D" w:rsidR="00AC18F3" w:rsidRDefault="00AC18F3" w:rsidP="00253C17">
      <w:pPr>
        <w:pStyle w:val="ListParagraph"/>
        <w:numPr>
          <w:ilvl w:val="1"/>
          <w:numId w:val="1"/>
        </w:numPr>
      </w:pPr>
      <w:r>
        <w:t>The control software should indicate P&amp;ID and live trends / historical trend of the data</w:t>
      </w:r>
      <w:r w:rsidR="00D37A68">
        <w:t>. The P&amp;ID should be interactive with schematic of the flow path with icons of actuators, sensors, and virtual sensors</w:t>
      </w:r>
    </w:p>
    <w:p w14:paraId="3CD1D06A" w14:textId="62530317" w:rsidR="00AC18F3" w:rsidRDefault="00AC18F3" w:rsidP="00253C17">
      <w:pPr>
        <w:pStyle w:val="ListParagraph"/>
        <w:numPr>
          <w:ilvl w:val="1"/>
          <w:numId w:val="1"/>
        </w:numPr>
      </w:pPr>
      <w:r>
        <w:t xml:space="preserve">The TFF system should be equipped with flowmeters, pressure sensors, UV, pH / conductivity sensors in feed, retentate and permeate line wherever is required as per process. </w:t>
      </w:r>
    </w:p>
    <w:p w14:paraId="25AA8789" w14:textId="77CFB601" w:rsidR="00AC18F3" w:rsidRDefault="00AC18F3" w:rsidP="00253C17">
      <w:pPr>
        <w:pStyle w:val="ListParagraph"/>
        <w:numPr>
          <w:ilvl w:val="1"/>
          <w:numId w:val="1"/>
        </w:numPr>
      </w:pPr>
      <w:r>
        <w:t xml:space="preserve">Tank should be equipped with weighing </w:t>
      </w:r>
      <w:r w:rsidR="00D37A68">
        <w:t xml:space="preserve">capability which eventually integrated in control software. </w:t>
      </w:r>
    </w:p>
    <w:p w14:paraId="76863E58" w14:textId="18CF8B7F" w:rsidR="00D37A68" w:rsidRDefault="00D37A68" w:rsidP="00253C17">
      <w:pPr>
        <w:pStyle w:val="ListParagraph"/>
        <w:numPr>
          <w:ilvl w:val="1"/>
          <w:numId w:val="1"/>
        </w:numPr>
      </w:pPr>
      <w:r>
        <w:t>Software should be equipped to custom program various TFF unit operations (concentration, diafiltration, washing, flushing, recovery, cleaning) and possibility to automate them.</w:t>
      </w:r>
    </w:p>
    <w:p w14:paraId="6D273F41" w14:textId="2BD0293B" w:rsidR="00D37A68" w:rsidRDefault="00D37A68" w:rsidP="00253C17">
      <w:pPr>
        <w:pStyle w:val="ListParagraph"/>
        <w:numPr>
          <w:ilvl w:val="1"/>
          <w:numId w:val="1"/>
        </w:numPr>
      </w:pPr>
      <w:r>
        <w:t xml:space="preserve">The cassette holder should be universal wherein different vendor TFF cassettes could be fixed. </w:t>
      </w:r>
    </w:p>
    <w:p w14:paraId="6BCA7BF8" w14:textId="6FEE3B6A" w:rsidR="00161BB2" w:rsidRDefault="00161BB2" w:rsidP="00253C17">
      <w:pPr>
        <w:pStyle w:val="ListParagraph"/>
        <w:numPr>
          <w:ilvl w:val="1"/>
          <w:numId w:val="1"/>
        </w:numPr>
      </w:pPr>
      <w:r>
        <w:t xml:space="preserve">TFF system should support and help to generate linear scalable parameters for higher scale-up studies. </w:t>
      </w:r>
    </w:p>
    <w:p w14:paraId="216A56A8" w14:textId="77777777" w:rsidR="001A15AE" w:rsidRPr="00253C17" w:rsidRDefault="001A15AE" w:rsidP="001A15AE">
      <w:pPr>
        <w:pStyle w:val="ListParagraph"/>
        <w:ind w:left="1440"/>
      </w:pPr>
    </w:p>
    <w:p w14:paraId="6576A53A" w14:textId="360C1B6E" w:rsidR="00253C17" w:rsidRDefault="00253C17" w:rsidP="00253C17">
      <w:pPr>
        <w:pStyle w:val="ListParagraph"/>
        <w:numPr>
          <w:ilvl w:val="0"/>
          <w:numId w:val="1"/>
        </w:numPr>
        <w:rPr>
          <w:b/>
          <w:bCs/>
        </w:rPr>
      </w:pPr>
      <w:r w:rsidRPr="00253C17">
        <w:rPr>
          <w:b/>
          <w:bCs/>
        </w:rPr>
        <w:t>Configuration of goods</w:t>
      </w:r>
    </w:p>
    <w:p w14:paraId="098514D8" w14:textId="592A1EE2" w:rsidR="001A15AE" w:rsidRDefault="001A15AE" w:rsidP="001A15AE">
      <w:pPr>
        <w:pStyle w:val="ListParagraph"/>
        <w:numPr>
          <w:ilvl w:val="1"/>
          <w:numId w:val="1"/>
        </w:numPr>
        <w:rPr>
          <w:b/>
          <w:bCs/>
        </w:rPr>
      </w:pPr>
      <w:r>
        <w:t>TFF system with full package</w:t>
      </w:r>
    </w:p>
    <w:p w14:paraId="03963F6E" w14:textId="77777777" w:rsidR="001A15AE" w:rsidRPr="00253C17" w:rsidRDefault="001A15AE" w:rsidP="001A15AE">
      <w:pPr>
        <w:pStyle w:val="ListParagraph"/>
        <w:rPr>
          <w:b/>
          <w:bCs/>
        </w:rPr>
      </w:pPr>
    </w:p>
    <w:p w14:paraId="122669B5" w14:textId="3FEFAF79" w:rsidR="00253C17" w:rsidRDefault="00253C17" w:rsidP="00253C17">
      <w:pPr>
        <w:pStyle w:val="ListParagraph"/>
        <w:numPr>
          <w:ilvl w:val="0"/>
          <w:numId w:val="1"/>
        </w:numPr>
        <w:rPr>
          <w:b/>
          <w:bCs/>
        </w:rPr>
      </w:pPr>
      <w:r w:rsidRPr="00253C17">
        <w:rPr>
          <w:b/>
          <w:bCs/>
        </w:rPr>
        <w:t>Performance and specification</w:t>
      </w:r>
    </w:p>
    <w:p w14:paraId="692B99F5" w14:textId="298E83B5" w:rsidR="001A15AE" w:rsidRPr="00B93829" w:rsidRDefault="00B93829" w:rsidP="001A15AE">
      <w:pPr>
        <w:pStyle w:val="ListParagraph"/>
        <w:numPr>
          <w:ilvl w:val="1"/>
          <w:numId w:val="1"/>
        </w:numPr>
        <w:rPr>
          <w:b/>
          <w:bCs/>
        </w:rPr>
      </w:pPr>
      <w:r>
        <w:t>Filtration Area: 0.1 m</w:t>
      </w:r>
      <w:r w:rsidRPr="00B93829">
        <w:rPr>
          <w:vertAlign w:val="superscript"/>
        </w:rPr>
        <w:t>2</w:t>
      </w:r>
      <w:r>
        <w:t xml:space="preserve"> to 1.14 m</w:t>
      </w:r>
      <w:r w:rsidRPr="00B93829">
        <w:rPr>
          <w:vertAlign w:val="superscript"/>
        </w:rPr>
        <w:t>2</w:t>
      </w:r>
    </w:p>
    <w:p w14:paraId="5B5F83C7" w14:textId="7BC174FC" w:rsidR="00B93829" w:rsidRPr="00B93829" w:rsidRDefault="00B93829" w:rsidP="001A15AE">
      <w:pPr>
        <w:pStyle w:val="ListParagraph"/>
        <w:numPr>
          <w:ilvl w:val="1"/>
          <w:numId w:val="1"/>
        </w:numPr>
        <w:rPr>
          <w:b/>
          <w:bCs/>
        </w:rPr>
      </w:pPr>
      <w:r>
        <w:t>Tank Volume: up to 5000 mL and minimum working volume of 300 mL</w:t>
      </w:r>
    </w:p>
    <w:p w14:paraId="47B1DA43" w14:textId="2E96AB00" w:rsidR="00B93829" w:rsidRPr="00B93829" w:rsidRDefault="00B93829" w:rsidP="001A15AE">
      <w:pPr>
        <w:pStyle w:val="ListParagraph"/>
        <w:numPr>
          <w:ilvl w:val="1"/>
          <w:numId w:val="1"/>
        </w:numPr>
        <w:rPr>
          <w:b/>
          <w:bCs/>
        </w:rPr>
      </w:pPr>
      <w:r>
        <w:lastRenderedPageBreak/>
        <w:t>Supported Devices: cassettes 0.1/0.11 m</w:t>
      </w:r>
      <w:r w:rsidRPr="00B93829">
        <w:rPr>
          <w:vertAlign w:val="superscript"/>
        </w:rPr>
        <w:t>2</w:t>
      </w:r>
      <w:r>
        <w:t xml:space="preserve"> up to 5 Nos; cassettes 0.5/0.57 m2 up to 2 Nos</w:t>
      </w:r>
    </w:p>
    <w:p w14:paraId="652AF4F1" w14:textId="46C1D379" w:rsidR="00B93829" w:rsidRPr="00B93829" w:rsidRDefault="00B93829" w:rsidP="001A15AE">
      <w:pPr>
        <w:pStyle w:val="ListParagraph"/>
        <w:numPr>
          <w:ilvl w:val="1"/>
          <w:numId w:val="1"/>
        </w:numPr>
        <w:rPr>
          <w:b/>
          <w:bCs/>
        </w:rPr>
      </w:pPr>
      <w:r>
        <w:t>Cassette holder: SS 3</w:t>
      </w:r>
      <w:r w:rsidR="00575F9B">
        <w:t>16</w:t>
      </w:r>
      <w:r>
        <w:t>L with capability to hold different vendor TFF cassettes</w:t>
      </w:r>
    </w:p>
    <w:p w14:paraId="39C22ADC" w14:textId="759B6416" w:rsidR="00B93829" w:rsidRPr="00B93829" w:rsidRDefault="00B93829" w:rsidP="001A15AE">
      <w:pPr>
        <w:pStyle w:val="ListParagraph"/>
        <w:numPr>
          <w:ilvl w:val="1"/>
          <w:numId w:val="1"/>
        </w:numPr>
        <w:rPr>
          <w:b/>
          <w:bCs/>
        </w:rPr>
      </w:pPr>
      <w:r>
        <w:t>Pump Flow Rate: Feed pump range at 1 bar - 100–12000 mL/min</w:t>
      </w:r>
    </w:p>
    <w:p w14:paraId="655B8D50" w14:textId="10D62D8B" w:rsidR="00B93829" w:rsidRPr="00B93829" w:rsidRDefault="00B93829" w:rsidP="001A15AE">
      <w:pPr>
        <w:pStyle w:val="ListParagraph"/>
        <w:numPr>
          <w:ilvl w:val="1"/>
          <w:numId w:val="1"/>
        </w:numPr>
        <w:rPr>
          <w:b/>
          <w:bCs/>
        </w:rPr>
      </w:pPr>
      <w:r>
        <w:t>Process Temperature Range: 5–40 °C</w:t>
      </w:r>
    </w:p>
    <w:p w14:paraId="039DF49B" w14:textId="1EFC8F9F" w:rsidR="00B93829" w:rsidRPr="00B93829" w:rsidRDefault="00B93829" w:rsidP="001A15AE">
      <w:pPr>
        <w:pStyle w:val="ListParagraph"/>
        <w:numPr>
          <w:ilvl w:val="1"/>
          <w:numId w:val="1"/>
        </w:numPr>
        <w:rPr>
          <w:b/>
          <w:bCs/>
        </w:rPr>
      </w:pPr>
      <w:r>
        <w:t>Connection to holder: Micro clamp (25 mm ferrule)</w:t>
      </w:r>
    </w:p>
    <w:p w14:paraId="5A1E8088" w14:textId="6C1C81A3" w:rsidR="00B93829" w:rsidRPr="00B93829" w:rsidRDefault="00B93829" w:rsidP="001A15AE">
      <w:pPr>
        <w:pStyle w:val="ListParagraph"/>
        <w:numPr>
          <w:ilvl w:val="1"/>
          <w:numId w:val="1"/>
        </w:numPr>
        <w:rPr>
          <w:b/>
          <w:bCs/>
        </w:rPr>
      </w:pPr>
      <w:r>
        <w:t>Maximum Operating Pressure: 5 bars</w:t>
      </w:r>
    </w:p>
    <w:p w14:paraId="1CA6446D" w14:textId="64602833" w:rsidR="00B93829" w:rsidRPr="00B93829" w:rsidRDefault="00B93829" w:rsidP="001A15AE">
      <w:pPr>
        <w:pStyle w:val="ListParagraph"/>
        <w:numPr>
          <w:ilvl w:val="1"/>
          <w:numId w:val="1"/>
        </w:numPr>
        <w:rPr>
          <w:b/>
          <w:bCs/>
        </w:rPr>
      </w:pPr>
      <w:r>
        <w:t xml:space="preserve">Weight (nominal): Bench top model with gross weight less </w:t>
      </w:r>
      <w:proofErr w:type="spellStart"/>
      <w:r>
        <w:t>then</w:t>
      </w:r>
      <w:proofErr w:type="spellEnd"/>
      <w:r>
        <w:t xml:space="preserve"> 75 Kg</w:t>
      </w:r>
    </w:p>
    <w:p w14:paraId="57F326BC" w14:textId="692D4BAF" w:rsidR="00B93829" w:rsidRPr="00575F9B" w:rsidRDefault="00B93829" w:rsidP="001A15AE">
      <w:pPr>
        <w:pStyle w:val="ListParagraph"/>
        <w:numPr>
          <w:ilvl w:val="1"/>
          <w:numId w:val="1"/>
        </w:numPr>
        <w:rPr>
          <w:b/>
          <w:bCs/>
        </w:rPr>
      </w:pPr>
      <w:r>
        <w:t xml:space="preserve">Power Supply: </w:t>
      </w:r>
      <w:r w:rsidR="00575F9B">
        <w:t>100 – 240 V~, 50 – 60 Hz with protective earth</w:t>
      </w:r>
    </w:p>
    <w:p w14:paraId="09BD75DC" w14:textId="111F2C1D" w:rsidR="00575F9B" w:rsidRPr="00575F9B" w:rsidRDefault="00575F9B" w:rsidP="001A15AE">
      <w:pPr>
        <w:pStyle w:val="ListParagraph"/>
        <w:numPr>
          <w:ilvl w:val="1"/>
          <w:numId w:val="1"/>
        </w:numPr>
        <w:rPr>
          <w:b/>
          <w:bCs/>
        </w:rPr>
      </w:pPr>
      <w:r>
        <w:t>Materials of Construction for All Wetted Parts: SS-316L and polymer-</w:t>
      </w:r>
      <w:r w:rsidRPr="00575F9B">
        <w:t xml:space="preserve"> </w:t>
      </w:r>
      <w:r>
        <w:t xml:space="preserve">PP, PVDF, PPSU, PEEK, PC, HDPE, PTFE, EPDM, </w:t>
      </w:r>
      <w:proofErr w:type="spellStart"/>
      <w:r>
        <w:t>Santoprene</w:t>
      </w:r>
      <w:proofErr w:type="spellEnd"/>
      <w:r>
        <w:t>, Silicone platinum cured</w:t>
      </w:r>
    </w:p>
    <w:p w14:paraId="73EC15F2" w14:textId="07327F86" w:rsidR="00575F9B" w:rsidRPr="00575F9B" w:rsidRDefault="00575F9B" w:rsidP="001A15AE">
      <w:pPr>
        <w:pStyle w:val="ListParagraph"/>
        <w:numPr>
          <w:ilvl w:val="1"/>
          <w:numId w:val="1"/>
        </w:numPr>
        <w:rPr>
          <w:b/>
          <w:bCs/>
        </w:rPr>
      </w:pPr>
      <w:r>
        <w:t>Permeate line: Filtrate pH/conductivity enables monitoring of flush or buffer exchange efficiency and Filtrate UV allows to detect and prevent protein loss</w:t>
      </w:r>
    </w:p>
    <w:p w14:paraId="32572BDA" w14:textId="130DC885" w:rsidR="00575F9B" w:rsidRPr="00575F9B" w:rsidRDefault="00575F9B" w:rsidP="001A15AE">
      <w:pPr>
        <w:pStyle w:val="ListParagraph"/>
        <w:numPr>
          <w:ilvl w:val="1"/>
          <w:numId w:val="1"/>
        </w:numPr>
        <w:rPr>
          <w:b/>
          <w:bCs/>
        </w:rPr>
      </w:pPr>
      <w:r w:rsidRPr="00575F9B">
        <w:t>Retentate/feed/permeate line:</w:t>
      </w:r>
      <w:r>
        <w:rPr>
          <w:b/>
          <w:bCs/>
        </w:rPr>
        <w:t xml:space="preserve"> </w:t>
      </w:r>
      <w:r>
        <w:t>Low range pressure sensors provide the level of accuracy needed in microfiltration</w:t>
      </w:r>
    </w:p>
    <w:p w14:paraId="12D24DC4" w14:textId="6BFE03A7" w:rsidR="00575F9B" w:rsidRPr="00575F9B" w:rsidRDefault="00575F9B" w:rsidP="001A15AE">
      <w:pPr>
        <w:pStyle w:val="ListParagraph"/>
        <w:numPr>
          <w:ilvl w:val="1"/>
          <w:numId w:val="1"/>
        </w:numPr>
        <w:rPr>
          <w:b/>
          <w:bCs/>
        </w:rPr>
      </w:pPr>
      <w:r>
        <w:t>Temperature control unit maintains product temperature or warms up a cleaning solution</w:t>
      </w:r>
    </w:p>
    <w:p w14:paraId="0ADF19D4" w14:textId="60912C97" w:rsidR="00575F9B" w:rsidRPr="00575F9B" w:rsidRDefault="00575F9B" w:rsidP="001A15AE">
      <w:pPr>
        <w:pStyle w:val="ListParagraph"/>
        <w:numPr>
          <w:ilvl w:val="1"/>
          <w:numId w:val="1"/>
        </w:numPr>
        <w:rPr>
          <w:b/>
          <w:bCs/>
        </w:rPr>
      </w:pPr>
      <w:r>
        <w:t>Flow meters: on retentate and feed line</w:t>
      </w:r>
    </w:p>
    <w:p w14:paraId="3C689378" w14:textId="6B92DFCF" w:rsidR="00575F9B" w:rsidRPr="00575F9B" w:rsidRDefault="00575F9B" w:rsidP="001A15AE">
      <w:pPr>
        <w:pStyle w:val="ListParagraph"/>
        <w:numPr>
          <w:ilvl w:val="1"/>
          <w:numId w:val="1"/>
        </w:numPr>
        <w:rPr>
          <w:b/>
          <w:bCs/>
        </w:rPr>
      </w:pPr>
      <w:r>
        <w:t>Pressure control valve: On feed and retentate valve</w:t>
      </w:r>
    </w:p>
    <w:p w14:paraId="7CA0EB1B" w14:textId="47DB3D24" w:rsidR="00575F9B" w:rsidRPr="00D61F70" w:rsidRDefault="00575F9B" w:rsidP="001A15AE">
      <w:pPr>
        <w:pStyle w:val="ListParagraph"/>
        <w:numPr>
          <w:ilvl w:val="1"/>
          <w:numId w:val="1"/>
        </w:numPr>
        <w:rPr>
          <w:b/>
          <w:bCs/>
        </w:rPr>
      </w:pPr>
      <w:r>
        <w:t xml:space="preserve">Tank weighing scale with magnetic stirring system. </w:t>
      </w:r>
    </w:p>
    <w:p w14:paraId="40C55662" w14:textId="3827ECE5" w:rsidR="00D61F70" w:rsidRPr="00D61F70" w:rsidRDefault="00D61F70" w:rsidP="001A15AE">
      <w:pPr>
        <w:pStyle w:val="ListParagraph"/>
        <w:numPr>
          <w:ilvl w:val="1"/>
          <w:numId w:val="1"/>
        </w:numPr>
        <w:rPr>
          <w:b/>
          <w:bCs/>
        </w:rPr>
      </w:pPr>
      <w:r>
        <w:t>Holder: For 0,1 m</w:t>
      </w:r>
      <w:r w:rsidRPr="00D61F70">
        <w:rPr>
          <w:vertAlign w:val="superscript"/>
        </w:rPr>
        <w:t>2</w:t>
      </w:r>
      <w:r>
        <w:t xml:space="preserve"> and cassettes 0,11 m</w:t>
      </w:r>
      <w:r w:rsidRPr="00D61F70">
        <w:rPr>
          <w:vertAlign w:val="superscript"/>
        </w:rPr>
        <w:t>2</w:t>
      </w:r>
    </w:p>
    <w:p w14:paraId="6EB7E647" w14:textId="652F2532" w:rsidR="00D61F70" w:rsidRPr="00D61F70" w:rsidRDefault="00D61F70" w:rsidP="001A15AE">
      <w:pPr>
        <w:pStyle w:val="ListParagraph"/>
        <w:numPr>
          <w:ilvl w:val="1"/>
          <w:numId w:val="1"/>
        </w:numPr>
        <w:rPr>
          <w:b/>
          <w:bCs/>
        </w:rPr>
      </w:pPr>
      <w:r>
        <w:t xml:space="preserve">Control software and HMI: P&amp;ID displays the complete process flow path and provides a snapshot of the system’s current state. From the P&amp;ID, a user can directly interact, control, and monitor system components. The P&amp;ID schematic shows icons of actuators, sensors, and virtual sensors together with information on tags, control mode (manual or automatic), and additional system settings and key parameter values such as setpoints or current speed. The HMI should have sufficient space in gigabyte (GB) to archive historical data and trend. </w:t>
      </w:r>
    </w:p>
    <w:p w14:paraId="55A12356" w14:textId="0FE17771" w:rsidR="00D61F70" w:rsidRPr="00575F9B" w:rsidRDefault="00D61F70" w:rsidP="001A15AE">
      <w:pPr>
        <w:pStyle w:val="ListParagraph"/>
        <w:numPr>
          <w:ilvl w:val="1"/>
          <w:numId w:val="1"/>
        </w:numPr>
        <w:rPr>
          <w:b/>
          <w:bCs/>
        </w:rPr>
      </w:pPr>
      <w:r>
        <w:t xml:space="preserve">Software: Control Software provides real-time monitoring and control of all TFF System processes. With an intuitive user interface, you can operate the system with minimal training. The home screen provides: • Persistent left navigation bar for easy access to P&amp;ID, trends, recipes, alarms, and settings • Top banner with alarms and system information • Customizable pinned sensors bar with actuator and sensor parameters of interest • Status bar with current state of the process • Interactive P&amp;ID schematic of the flow path with icons of actuators, sensors, and virtual sensors • Update Utility allows you to upload and install the latest version of the Control Software for TFF system. In addition, the Control Software offers the following features to support users in their application runs, from recipe creation and starting a run to monitoring and reporting. </w:t>
      </w:r>
    </w:p>
    <w:p w14:paraId="0C3CA40D" w14:textId="0387F06D" w:rsidR="00575F9B" w:rsidRPr="00253C17" w:rsidRDefault="00575F9B" w:rsidP="00575F9B">
      <w:pPr>
        <w:pStyle w:val="ListParagraph"/>
        <w:ind w:left="1440"/>
        <w:rPr>
          <w:b/>
          <w:bCs/>
        </w:rPr>
      </w:pPr>
    </w:p>
    <w:p w14:paraId="71EA910B" w14:textId="77777777" w:rsidR="00575F9B" w:rsidRDefault="00253C17" w:rsidP="00253C17">
      <w:pPr>
        <w:pStyle w:val="ListParagraph"/>
        <w:numPr>
          <w:ilvl w:val="0"/>
          <w:numId w:val="1"/>
        </w:numPr>
        <w:rPr>
          <w:b/>
          <w:bCs/>
        </w:rPr>
      </w:pPr>
      <w:r w:rsidRPr="00253C17">
        <w:rPr>
          <w:b/>
          <w:bCs/>
        </w:rPr>
        <w:t>Accessories</w:t>
      </w:r>
    </w:p>
    <w:p w14:paraId="2B751C00" w14:textId="079A53EF" w:rsidR="00253C17" w:rsidRPr="00575F9B" w:rsidRDefault="00575F9B" w:rsidP="00575F9B">
      <w:pPr>
        <w:pStyle w:val="ListParagraph"/>
        <w:numPr>
          <w:ilvl w:val="1"/>
          <w:numId w:val="1"/>
        </w:numPr>
      </w:pPr>
      <w:r w:rsidRPr="00575F9B">
        <w:t>All applicable as per full package</w:t>
      </w:r>
    </w:p>
    <w:p w14:paraId="72668D6D" w14:textId="6E196DCF" w:rsidR="00253C17" w:rsidRPr="00575F9B" w:rsidRDefault="00253C17" w:rsidP="00253C17">
      <w:pPr>
        <w:pStyle w:val="ListParagraph"/>
        <w:numPr>
          <w:ilvl w:val="0"/>
          <w:numId w:val="1"/>
        </w:numPr>
      </w:pPr>
      <w:r w:rsidRPr="00253C17">
        <w:rPr>
          <w:b/>
          <w:bCs/>
        </w:rPr>
        <w:t>Remarks</w:t>
      </w:r>
    </w:p>
    <w:p w14:paraId="60969A34" w14:textId="38C5C205" w:rsidR="00575F9B" w:rsidRDefault="00575F9B" w:rsidP="00575F9B">
      <w:pPr>
        <w:pStyle w:val="ListParagraph"/>
        <w:numPr>
          <w:ilvl w:val="1"/>
          <w:numId w:val="1"/>
        </w:numPr>
      </w:pPr>
      <w:r>
        <w:lastRenderedPageBreak/>
        <w:t>Installation and Operational Qualification (IQ/OQ) service</w:t>
      </w:r>
    </w:p>
    <w:p w14:paraId="15B11741" w14:textId="412A3CFD" w:rsidR="00575F9B" w:rsidRDefault="00D61F70" w:rsidP="00575F9B">
      <w:pPr>
        <w:pStyle w:val="ListParagraph"/>
        <w:numPr>
          <w:ilvl w:val="1"/>
          <w:numId w:val="1"/>
        </w:numPr>
      </w:pPr>
      <w:r>
        <w:t xml:space="preserve">Regulatory requirements: All plastic and elastomer parts in contact with the product comply with USP Class VI or USP or FDA title 21 CFR, paragraph 177 or ISO 10993-5. All stainless-steel parts manufactured from 316L stainless-steel or equivalent in contact with the product complies with material certificate 3.1 following EN 10204. </w:t>
      </w:r>
    </w:p>
    <w:p w14:paraId="0C728AE2" w14:textId="0AD2221C" w:rsidR="00D61F70" w:rsidRDefault="00D61F70" w:rsidP="00575F9B">
      <w:pPr>
        <w:pStyle w:val="ListParagraph"/>
        <w:numPr>
          <w:ilvl w:val="1"/>
          <w:numId w:val="1"/>
        </w:numPr>
      </w:pPr>
      <w:r>
        <w:t>Language support: English and Korean</w:t>
      </w:r>
    </w:p>
    <w:p w14:paraId="3A734E8F" w14:textId="1CAE7E8D" w:rsidR="00EA256A" w:rsidRDefault="00EA256A" w:rsidP="00575F9B">
      <w:pPr>
        <w:pStyle w:val="ListParagraph"/>
        <w:numPr>
          <w:ilvl w:val="1"/>
          <w:numId w:val="1"/>
        </w:numPr>
      </w:pPr>
      <w:r>
        <w:t>On site installation by certified engineer</w:t>
      </w:r>
    </w:p>
    <w:p w14:paraId="6D39A230" w14:textId="38102F6C" w:rsidR="00EA256A" w:rsidRDefault="00EA256A" w:rsidP="00575F9B">
      <w:pPr>
        <w:pStyle w:val="ListParagraph"/>
        <w:numPr>
          <w:ilvl w:val="1"/>
          <w:numId w:val="1"/>
        </w:numPr>
      </w:pPr>
      <w:proofErr w:type="gramStart"/>
      <w:r>
        <w:t>Two year</w:t>
      </w:r>
      <w:proofErr w:type="gramEnd"/>
      <w:r>
        <w:t xml:space="preserve"> warranty service shall be provided</w:t>
      </w:r>
    </w:p>
    <w:p w14:paraId="5FF80332" w14:textId="77777777" w:rsidR="003734B8" w:rsidRDefault="003734B8" w:rsidP="003734B8"/>
    <w:p w14:paraId="630BD494" w14:textId="1E6B20C2" w:rsidR="00253C17" w:rsidRPr="003734B8" w:rsidRDefault="003734B8" w:rsidP="003734B8">
      <w:pPr>
        <w:pStyle w:val="ListParagraph"/>
        <w:numPr>
          <w:ilvl w:val="0"/>
          <w:numId w:val="1"/>
        </w:numPr>
        <w:rPr>
          <w:b/>
          <w:bCs/>
          <w:lang w:eastAsia="ko-KR"/>
        </w:rPr>
      </w:pPr>
      <w:r w:rsidRPr="003734B8">
        <w:rPr>
          <w:b/>
          <w:bCs/>
          <w:lang w:eastAsia="ko-KR"/>
        </w:rPr>
        <w:t>‘</w:t>
      </w:r>
      <w:r w:rsidRPr="003734B8">
        <w:rPr>
          <w:rFonts w:ascii="맑은 고딕" w:eastAsia="맑은 고딕" w:hAnsi="맑은 고딕" w:cs="맑은 고딕" w:hint="eastAsia"/>
          <w:b/>
          <w:bCs/>
          <w:lang w:eastAsia="ko-KR"/>
        </w:rPr>
        <w:t>위</w:t>
      </w:r>
      <w:r w:rsidRPr="003734B8">
        <w:rPr>
          <w:rFonts w:hint="eastAsia"/>
          <w:b/>
          <w:bCs/>
          <w:lang w:eastAsia="ko-KR"/>
        </w:rPr>
        <w:t xml:space="preserve"> </w:t>
      </w:r>
      <w:r w:rsidRPr="003734B8">
        <w:rPr>
          <w:rFonts w:ascii="맑은 고딕" w:eastAsia="맑은 고딕" w:hAnsi="맑은 고딕" w:cs="맑은 고딕" w:hint="eastAsia"/>
          <w:b/>
          <w:bCs/>
          <w:lang w:eastAsia="ko-KR"/>
        </w:rPr>
        <w:t>규격서에서</w:t>
      </w:r>
      <w:r w:rsidRPr="003734B8">
        <w:rPr>
          <w:rFonts w:hint="eastAsia"/>
          <w:b/>
          <w:bCs/>
          <w:lang w:eastAsia="ko-KR"/>
        </w:rPr>
        <w:t xml:space="preserve"> </w:t>
      </w:r>
      <w:r w:rsidRPr="003734B8">
        <w:rPr>
          <w:rFonts w:ascii="맑은 고딕" w:eastAsia="맑은 고딕" w:hAnsi="맑은 고딕" w:cs="맑은 고딕" w:hint="eastAsia"/>
          <w:b/>
          <w:bCs/>
          <w:lang w:eastAsia="ko-KR"/>
        </w:rPr>
        <w:t>명시한</w:t>
      </w:r>
      <w:r w:rsidRPr="003734B8">
        <w:rPr>
          <w:rFonts w:hint="eastAsia"/>
          <w:b/>
          <w:bCs/>
          <w:lang w:eastAsia="ko-KR"/>
        </w:rPr>
        <w:t xml:space="preserve"> </w:t>
      </w:r>
      <w:r w:rsidRPr="003734B8">
        <w:rPr>
          <w:rFonts w:ascii="맑은 고딕" w:eastAsia="맑은 고딕" w:hAnsi="맑은 고딕" w:cs="맑은 고딕" w:hint="eastAsia"/>
          <w:b/>
          <w:bCs/>
          <w:lang w:eastAsia="ko-KR"/>
        </w:rPr>
        <w:t>제품과</w:t>
      </w:r>
      <w:r w:rsidRPr="003734B8">
        <w:rPr>
          <w:rFonts w:hint="eastAsia"/>
          <w:b/>
          <w:bCs/>
          <w:lang w:eastAsia="ko-KR"/>
        </w:rPr>
        <w:t xml:space="preserve"> </w:t>
      </w:r>
      <w:r w:rsidRPr="003734B8">
        <w:rPr>
          <w:rFonts w:ascii="맑은 고딕" w:eastAsia="맑은 고딕" w:hAnsi="맑은 고딕" w:cs="맑은 고딕" w:hint="eastAsia"/>
          <w:b/>
          <w:bCs/>
          <w:lang w:eastAsia="ko-KR"/>
        </w:rPr>
        <w:t>동등</w:t>
      </w:r>
      <w:r w:rsidRPr="003734B8">
        <w:rPr>
          <w:rFonts w:hint="eastAsia"/>
          <w:b/>
          <w:bCs/>
          <w:lang w:eastAsia="ko-KR"/>
        </w:rPr>
        <w:t xml:space="preserve"> </w:t>
      </w:r>
      <w:r w:rsidRPr="003734B8">
        <w:rPr>
          <w:rFonts w:ascii="맑은 고딕" w:eastAsia="맑은 고딕" w:hAnsi="맑은 고딕" w:cs="맑은 고딕" w:hint="eastAsia"/>
          <w:b/>
          <w:bCs/>
          <w:lang w:eastAsia="ko-KR"/>
        </w:rPr>
        <w:t>이상의</w:t>
      </w:r>
      <w:r w:rsidRPr="003734B8">
        <w:rPr>
          <w:rFonts w:hint="eastAsia"/>
          <w:b/>
          <w:bCs/>
          <w:lang w:eastAsia="ko-KR"/>
        </w:rPr>
        <w:t xml:space="preserve"> </w:t>
      </w:r>
      <w:r w:rsidRPr="003734B8">
        <w:rPr>
          <w:rFonts w:ascii="맑은 고딕" w:eastAsia="맑은 고딕" w:hAnsi="맑은 고딕" w:cs="맑은 고딕" w:hint="eastAsia"/>
          <w:b/>
          <w:bCs/>
          <w:lang w:eastAsia="ko-KR"/>
        </w:rPr>
        <w:t>다른</w:t>
      </w:r>
      <w:r w:rsidRPr="003734B8">
        <w:rPr>
          <w:rFonts w:hint="eastAsia"/>
          <w:b/>
          <w:bCs/>
          <w:lang w:eastAsia="ko-KR"/>
        </w:rPr>
        <w:t xml:space="preserve"> </w:t>
      </w:r>
      <w:r w:rsidRPr="003734B8">
        <w:rPr>
          <w:rFonts w:ascii="맑은 고딕" w:eastAsia="맑은 고딕" w:hAnsi="맑은 고딕" w:cs="맑은 고딕" w:hint="eastAsia"/>
          <w:b/>
          <w:bCs/>
          <w:lang w:eastAsia="ko-KR"/>
        </w:rPr>
        <w:t>제품</w:t>
      </w:r>
      <w:r w:rsidRPr="003734B8">
        <w:rPr>
          <w:rFonts w:hint="eastAsia"/>
          <w:b/>
          <w:bCs/>
          <w:lang w:eastAsia="ko-KR"/>
        </w:rPr>
        <w:t xml:space="preserve"> </w:t>
      </w:r>
      <w:r w:rsidRPr="003734B8">
        <w:rPr>
          <w:rFonts w:ascii="맑은 고딕" w:eastAsia="맑은 고딕" w:hAnsi="맑은 고딕" w:cs="맑은 고딕" w:hint="eastAsia"/>
          <w:b/>
          <w:bCs/>
          <w:lang w:eastAsia="ko-KR"/>
        </w:rPr>
        <w:t>납품이</w:t>
      </w:r>
      <w:r w:rsidRPr="003734B8">
        <w:rPr>
          <w:rFonts w:hint="eastAsia"/>
          <w:b/>
          <w:bCs/>
          <w:lang w:eastAsia="ko-KR"/>
        </w:rPr>
        <w:t xml:space="preserve"> </w:t>
      </w:r>
      <w:r w:rsidRPr="003734B8">
        <w:rPr>
          <w:rFonts w:ascii="맑은 고딕" w:eastAsia="맑은 고딕" w:hAnsi="맑은 고딕" w:cs="맑은 고딕" w:hint="eastAsia"/>
          <w:b/>
          <w:bCs/>
          <w:lang w:eastAsia="ko-KR"/>
        </w:rPr>
        <w:t>가능한</w:t>
      </w:r>
      <w:r w:rsidRPr="003734B8">
        <w:rPr>
          <w:rFonts w:hint="eastAsia"/>
          <w:b/>
          <w:bCs/>
          <w:lang w:eastAsia="ko-KR"/>
        </w:rPr>
        <w:t xml:space="preserve"> </w:t>
      </w:r>
      <w:r w:rsidRPr="003734B8">
        <w:rPr>
          <w:rFonts w:ascii="맑은 고딕" w:eastAsia="맑은 고딕" w:hAnsi="맑은 고딕" w:cs="맑은 고딕" w:hint="eastAsia"/>
          <w:b/>
          <w:bCs/>
          <w:lang w:eastAsia="ko-KR"/>
        </w:rPr>
        <w:t>업체는</w:t>
      </w:r>
      <w:r w:rsidRPr="003734B8">
        <w:rPr>
          <w:rFonts w:hint="eastAsia"/>
          <w:b/>
          <w:bCs/>
          <w:lang w:eastAsia="ko-KR"/>
        </w:rPr>
        <w:t xml:space="preserve"> </w:t>
      </w:r>
      <w:r w:rsidRPr="003734B8">
        <w:rPr>
          <w:rFonts w:ascii="맑은 고딕" w:eastAsia="맑은 고딕" w:hAnsi="맑은 고딕" w:cs="맑은 고딕" w:hint="eastAsia"/>
          <w:b/>
          <w:bCs/>
          <w:lang w:eastAsia="ko-KR"/>
        </w:rPr>
        <w:t>입찰에</w:t>
      </w:r>
      <w:r w:rsidRPr="003734B8">
        <w:rPr>
          <w:rFonts w:hint="eastAsia"/>
          <w:b/>
          <w:bCs/>
          <w:lang w:eastAsia="ko-KR"/>
        </w:rPr>
        <w:t xml:space="preserve"> </w:t>
      </w:r>
      <w:r w:rsidRPr="003734B8">
        <w:rPr>
          <w:rFonts w:ascii="맑은 고딕" w:eastAsia="맑은 고딕" w:hAnsi="맑은 고딕" w:cs="맑은 고딕" w:hint="eastAsia"/>
          <w:b/>
          <w:bCs/>
          <w:lang w:eastAsia="ko-KR"/>
        </w:rPr>
        <w:t>참가할</w:t>
      </w:r>
      <w:r w:rsidRPr="003734B8">
        <w:rPr>
          <w:rFonts w:hint="eastAsia"/>
          <w:b/>
          <w:bCs/>
          <w:lang w:eastAsia="ko-KR"/>
        </w:rPr>
        <w:t xml:space="preserve"> </w:t>
      </w:r>
      <w:r w:rsidRPr="003734B8">
        <w:rPr>
          <w:rFonts w:ascii="맑은 고딕" w:eastAsia="맑은 고딕" w:hAnsi="맑은 고딕" w:cs="맑은 고딕" w:hint="eastAsia"/>
          <w:b/>
          <w:bCs/>
          <w:lang w:eastAsia="ko-KR"/>
        </w:rPr>
        <w:t>수</w:t>
      </w:r>
      <w:r w:rsidRPr="003734B8">
        <w:rPr>
          <w:rFonts w:hint="eastAsia"/>
          <w:b/>
          <w:bCs/>
          <w:lang w:eastAsia="ko-KR"/>
        </w:rPr>
        <w:t xml:space="preserve"> </w:t>
      </w:r>
      <w:r w:rsidRPr="003734B8">
        <w:rPr>
          <w:rFonts w:ascii="맑은 고딕" w:eastAsia="맑은 고딕" w:hAnsi="맑은 고딕" w:cs="맑은 고딕" w:hint="eastAsia"/>
          <w:b/>
          <w:bCs/>
          <w:lang w:eastAsia="ko-KR"/>
        </w:rPr>
        <w:t>있음</w:t>
      </w:r>
      <w:r w:rsidRPr="003734B8">
        <w:rPr>
          <w:b/>
          <w:bCs/>
          <w:lang w:eastAsia="ko-KR"/>
        </w:rPr>
        <w:t>’.</w:t>
      </w:r>
    </w:p>
    <w:p w14:paraId="38C81743" w14:textId="77777777" w:rsidR="00961DEA" w:rsidRDefault="00961DEA">
      <w:pPr>
        <w:rPr>
          <w:lang w:eastAsia="ko-KR"/>
        </w:rPr>
      </w:pPr>
    </w:p>
    <w:sectPr w:rsidR="00961DEA">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C4691"/>
    <w:multiLevelType w:val="hybridMultilevel"/>
    <w:tmpl w:val="7FEE4CA2"/>
    <w:lvl w:ilvl="0" w:tplc="04090015">
      <w:start w:val="1"/>
      <w:numFmt w:val="upperLetter"/>
      <w:lvlText w:val="%1."/>
      <w:lvlJc w:val="left"/>
      <w:pPr>
        <w:ind w:left="720" w:hanging="360"/>
      </w:pPr>
    </w:lvl>
    <w:lvl w:ilvl="1" w:tplc="30B2A6BA">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87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17"/>
    <w:rsid w:val="000E1B73"/>
    <w:rsid w:val="00161BB2"/>
    <w:rsid w:val="001A15AE"/>
    <w:rsid w:val="00253C17"/>
    <w:rsid w:val="003734B8"/>
    <w:rsid w:val="004A1D47"/>
    <w:rsid w:val="00575F9B"/>
    <w:rsid w:val="008D04C7"/>
    <w:rsid w:val="00961DEA"/>
    <w:rsid w:val="00A623AB"/>
    <w:rsid w:val="00AC18F3"/>
    <w:rsid w:val="00B166AA"/>
    <w:rsid w:val="00B24E11"/>
    <w:rsid w:val="00B93829"/>
    <w:rsid w:val="00D37A68"/>
    <w:rsid w:val="00D61F70"/>
    <w:rsid w:val="00DC15CE"/>
    <w:rsid w:val="00DF4384"/>
    <w:rsid w:val="00EA256A"/>
    <w:rsid w:val="00F866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B6A3"/>
  <w15:chartTrackingRefBased/>
  <w15:docId w15:val="{098232A2-5A11-4C3E-817A-74AD226F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Ruchir Kumar Pansuriya</dc:creator>
  <cp:keywords/>
  <dc:description/>
  <cp:lastModifiedBy>GaHee Kim</cp:lastModifiedBy>
  <cp:revision>8</cp:revision>
  <dcterms:created xsi:type="dcterms:W3CDTF">2022-11-17T10:59:00Z</dcterms:created>
  <dcterms:modified xsi:type="dcterms:W3CDTF">2022-11-18T08:02:00Z</dcterms:modified>
</cp:coreProperties>
</file>